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54"/>
        <w:gridCol w:w="3295"/>
        <w:gridCol w:w="3127"/>
      </w:tblGrid>
      <w:tr w:rsidR="00292636" w:rsidTr="00292636">
        <w:tc>
          <w:tcPr>
            <w:tcW w:w="3672" w:type="dxa"/>
            <w:shd w:val="clear" w:color="auto" w:fill="FFFFFF" w:themeFill="background1"/>
          </w:tcPr>
          <w:p w:rsidR="00292636" w:rsidRPr="00292636" w:rsidRDefault="00292636" w:rsidP="007827C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36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292636" w:rsidRPr="00292636" w:rsidRDefault="00292636" w:rsidP="007827C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36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292636" w:rsidRPr="00292636" w:rsidRDefault="00292636" w:rsidP="007827C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636" w:rsidRPr="00292636" w:rsidRDefault="00292636" w:rsidP="007827CB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292636" w:rsidRPr="00292636" w:rsidRDefault="00A9767E" w:rsidP="007827CB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16</w:t>
            </w:r>
            <w:r w:rsidR="00A8211A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292636" w:rsidRDefault="00591BC3" w:rsidP="007827CB">
            <w:pPr>
              <w:pStyle w:val="Head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1009650</wp:posOffset>
                      </wp:positionH>
                      <wp:positionV relativeFrom="paragraph">
                        <wp:posOffset>410845</wp:posOffset>
                      </wp:positionV>
                      <wp:extent cx="3943350" cy="7620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33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351" w:rsidRPr="00FD0B38" w:rsidRDefault="00542351" w:rsidP="00292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 w:rsidRPr="00FD0B38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>Harris County District Attorney</w:t>
                                  </w:r>
                                </w:p>
                                <w:p w:rsidR="00542351" w:rsidRDefault="00542351" w:rsidP="00292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DEVON</w:t>
                                  </w:r>
                                  <w:r w:rsidRPr="00B06D8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ANDERSON</w:t>
                                  </w:r>
                                </w:p>
                                <w:p w:rsidR="00B66F52" w:rsidRPr="00B06D80" w:rsidRDefault="00B66F52" w:rsidP="00292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9.5pt;margin-top:32.35pt;width:310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9ZhgIAAHsFAAAOAAAAZHJzL2Uyb0RvYy54bWysVN9P2zAQfp+0/8Hy+0gLBUZEijoQ06QK&#10;0MrEs+vYNMLxebbbpPvruXOStmN7YdpLYvu++/3dXV61tWEb5UMFtuDjoxFnykooK/tc8B+Pt58+&#10;cxaisKUwYFXBtyrwq+nHD5eNy9UxrMCUyjM0YkPeuIKvYnR5lgW5UrUIR+CURaEGX4uIV/+clV40&#10;aL022fFodJY14EvnQaoQ8PWmE/Jpsq+1kvFe66AiMwXH2GL6+vRd0jebXor82Qu3qmQfhviHKGpR&#10;WXS6M3UjomBrX/1hqq6khwA6HkmoM9C6kirlgNmMR2+yWayEUykXLE5wuzKF/2dW3m0ePKtK7B1n&#10;VtTYokfVRvYFWjam6jQu5AhaOITFFp8JSZkGNwf5EhCSHWA6hYBowrTa1/THPBkqYgO2u6KTF4mP&#10;JxeTk5NTFEmUnZ9hU1NXsr228yF+VVAzOhTcY1NTBGIzD5H8i3yAkDMLt5UxqbHGsqbgZ2T+Nwlq&#10;GEsvKlGkN0NpdJGnU9waRRhjvyuNJUoJ0EMip7o2nm0E0kpIqWxMxUp2EU0ojUG8R7HH76N6j3KX&#10;x+AZbNwp15UF3zWMZmofdvkyhKw7fN/I0OVNJYjtsu0psIRyiwzw0E1QcPK2wm7MRYgPwuPIYANx&#10;DcR7/GgDWHXoT5ytwP/62zvhkcko5azBESx4+LkWXnFmvlnk+MV4MqGZTZfJ6fkxXvyhZHkosev6&#10;GrAdyGOMLh0JH81w1B7qJ9wWM/KKImEl+i54HI7XsVsMuG2kms0SCKfUiTi3CycH4hPXHtsn4V1P&#10;yIhUvoNhWEX+hpcdlvpqYbaOoKtEWipwV9W+8Djhicv9NqIVcnhPqP3OnL4CAAD//wMAUEsDBBQA&#10;BgAIAAAAIQDGgEKH2wAAAAoBAAAPAAAAZHJzL2Rvd25yZXYueG1sTE/LSsNAFN0L/sNwBXd2omiT&#10;ppmUIroRRKwFcXebuWai84gz0zb+vdeVLs+D82hWk7PiQDENwSu4nBUgyHdBD75XsH25v6hApIxe&#10;ow2eFHxTglV7etJgrcPRP9Nhk3vBIT7VqMDkPNZSps6QwzQLI3nW3kN0mBnGXuqIRw53Vl4VxVw6&#10;HDw3GBzp1lD3udk7BWX1ps1HfJi2r4/rL/M0SnuHUqnzs2m9BJFpyn9m+J3P06HlTbuw9zoJy/hm&#10;wV+ygvl1CYINZVUwsWOlYka2jfx/of0BAAD//wMAUEsBAi0AFAAGAAgAAAAhALaDOJL+AAAA4QEA&#10;ABMAAAAAAAAAAAAAAAAAAAAAAFtDb250ZW50X1R5cGVzXS54bWxQSwECLQAUAAYACAAAACEAOP0h&#10;/9YAAACUAQAACwAAAAAAAAAAAAAAAAAvAQAAX3JlbHMvLnJlbHNQSwECLQAUAAYACAAAACEAuPz/&#10;WYYCAAB7BQAADgAAAAAAAAAAAAAAAAAuAgAAZHJzL2Uyb0RvYy54bWxQSwECLQAUAAYACAAAACEA&#10;xoBCh9sAAAAKAQAADwAAAAAAAAAAAAAAAADgBAAAZHJzL2Rvd25yZXYueG1sUEsFBgAAAAAEAAQA&#10;8wAAAOgFAAAAAA==&#10;" filled="f" stroked="f" strokeweight=".5pt">
                      <v:path arrowok="t"/>
                      <v:textbox>
                        <w:txbxContent>
                          <w:p w:rsidR="00542351" w:rsidRPr="00FD0B38" w:rsidRDefault="00542351" w:rsidP="0029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FD0B38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Harris County District Attorney</w:t>
                            </w:r>
                          </w:p>
                          <w:p w:rsidR="00542351" w:rsidRDefault="00542351" w:rsidP="0029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DEVON</w:t>
                            </w:r>
                            <w:r w:rsidRPr="00B06D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ANDERSON</w:t>
                            </w:r>
                          </w:p>
                          <w:p w:rsidR="00B66F52" w:rsidRPr="00B06D80" w:rsidRDefault="00B66F52" w:rsidP="0029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672" w:type="dxa"/>
            <w:shd w:val="clear" w:color="auto" w:fill="FFFFFF" w:themeFill="background1"/>
          </w:tcPr>
          <w:p w:rsidR="00292636" w:rsidRDefault="007827CB" w:rsidP="00292636">
            <w:pPr>
              <w:pStyle w:val="Head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AF4B98" wp14:editId="54F3FCD4">
                  <wp:extent cx="1028700" cy="997226"/>
                  <wp:effectExtent l="0" t="0" r="0" b="0"/>
                  <wp:docPr id="3" name="Picture 3" descr="K:\HEPOLA_CAMILLE\Pictures\Miscellaneous\Gold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HEPOLA_CAMILLE\Pictures\Miscellaneous\Gold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636" w:rsidRDefault="00292636" w:rsidP="00292636">
            <w:pPr>
              <w:pStyle w:val="Header"/>
              <w:jc w:val="center"/>
              <w:rPr>
                <w:noProof/>
              </w:rPr>
            </w:pPr>
          </w:p>
          <w:p w:rsidR="00292636" w:rsidRDefault="00292636" w:rsidP="00292636">
            <w:pPr>
              <w:pStyle w:val="Header"/>
              <w:jc w:val="center"/>
              <w:rPr>
                <w:noProof/>
              </w:rPr>
            </w:pPr>
          </w:p>
          <w:p w:rsidR="00292636" w:rsidRDefault="00292636" w:rsidP="00292636">
            <w:pPr>
              <w:pStyle w:val="Header"/>
              <w:jc w:val="center"/>
            </w:pPr>
          </w:p>
        </w:tc>
        <w:tc>
          <w:tcPr>
            <w:tcW w:w="3672" w:type="dxa"/>
            <w:shd w:val="clear" w:color="auto" w:fill="FFFFFF" w:themeFill="background1"/>
          </w:tcPr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b/>
                <w:sz w:val="20"/>
                <w:szCs w:val="20"/>
              </w:rPr>
              <w:t>Houston, Texas 77002 901</w:t>
            </w: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26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sz w:val="20"/>
                <w:szCs w:val="20"/>
              </w:rPr>
              <w:t>Jeff McShan</w:t>
            </w:r>
          </w:p>
          <w:p w:rsidR="00A9767E" w:rsidRPr="00292636" w:rsidRDefault="00A9767E" w:rsidP="00292636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636">
              <w:rPr>
                <w:rFonts w:ascii="Times New Roman" w:hAnsi="Times New Roman" w:cs="Times New Roman"/>
                <w:sz w:val="20"/>
                <w:szCs w:val="20"/>
              </w:rPr>
              <w:t xml:space="preserve"> (713) 755-0122</w:t>
            </w:r>
          </w:p>
          <w:p w:rsidR="00A9767E" w:rsidRPr="00292636" w:rsidRDefault="00A9767E" w:rsidP="00292636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636" w:rsidRPr="00292636" w:rsidRDefault="00292636" w:rsidP="00292636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636" w:rsidRDefault="00292636" w:rsidP="00292636">
            <w:pPr>
              <w:pStyle w:val="Header"/>
              <w:jc w:val="right"/>
            </w:pPr>
          </w:p>
        </w:tc>
      </w:tr>
    </w:tbl>
    <w:p w:rsidR="00292636" w:rsidRDefault="00292636" w:rsidP="00292636">
      <w:pPr>
        <w:pStyle w:val="Header"/>
      </w:pPr>
    </w:p>
    <w:p w:rsidR="0019458E" w:rsidRDefault="0019458E" w:rsidP="00672B87">
      <w:pPr>
        <w:shd w:val="clear" w:color="auto" w:fill="FFFFFF"/>
        <w:spacing w:after="0" w:line="360" w:lineRule="atLeast"/>
        <w:rPr>
          <w:sz w:val="24"/>
          <w:szCs w:val="24"/>
        </w:rPr>
      </w:pPr>
    </w:p>
    <w:p w:rsidR="0019458E" w:rsidRPr="00A9767E" w:rsidRDefault="00651728" w:rsidP="00651728">
      <w:pPr>
        <w:pStyle w:val="NoSpacing"/>
        <w:jc w:val="center"/>
        <w:rPr>
          <w:b/>
          <w:i/>
          <w:sz w:val="36"/>
          <w:szCs w:val="36"/>
        </w:rPr>
      </w:pPr>
      <w:r w:rsidRPr="00A9767E">
        <w:rPr>
          <w:b/>
          <w:i/>
          <w:sz w:val="36"/>
          <w:szCs w:val="36"/>
        </w:rPr>
        <w:t>Harris County District Attorney Devon Anderson Announces SAFE COURT</w:t>
      </w:r>
    </w:p>
    <w:p w:rsidR="00A9767E" w:rsidRPr="00320958" w:rsidRDefault="00A9767E" w:rsidP="00651728">
      <w:pPr>
        <w:pStyle w:val="NoSpacing"/>
        <w:jc w:val="center"/>
        <w:rPr>
          <w:b/>
          <w:i/>
          <w:color w:val="0070C0"/>
          <w:sz w:val="28"/>
          <w:szCs w:val="28"/>
          <w:u w:val="single"/>
        </w:rPr>
      </w:pPr>
      <w:r w:rsidRPr="00320958">
        <w:rPr>
          <w:b/>
          <w:i/>
          <w:color w:val="0070C0"/>
          <w:sz w:val="28"/>
          <w:szCs w:val="28"/>
          <w:u w:val="single"/>
        </w:rPr>
        <w:t>Survivors Acquiring Freedom and Empowerment</w:t>
      </w:r>
    </w:p>
    <w:p w:rsidR="00A9767E" w:rsidRPr="0073337E" w:rsidRDefault="00A9767E" w:rsidP="00A9767E">
      <w:pPr>
        <w:pStyle w:val="NoSpacing"/>
      </w:pPr>
    </w:p>
    <w:p w:rsidR="000217A1" w:rsidRPr="0073337E" w:rsidRDefault="00320958" w:rsidP="000217A1">
      <w:pPr>
        <w:pStyle w:val="NoSpacing"/>
      </w:pPr>
      <w:r w:rsidRPr="0073337E">
        <w:t xml:space="preserve">Houston – </w:t>
      </w:r>
      <w:r w:rsidR="000217A1" w:rsidRPr="0073337E">
        <w:t>The Harris County District Attorney’s Office has</w:t>
      </w:r>
      <w:r w:rsidR="00CC2518" w:rsidRPr="0073337E">
        <w:t xml:space="preserve"> received a SMART Prosecution Grant from the United States Department of Justice, Bureau of Justice Assistance. The $435,000</w:t>
      </w:r>
      <w:r w:rsidR="00FC7A83" w:rsidRPr="0073337E">
        <w:t xml:space="preserve"> award </w:t>
      </w:r>
      <w:r w:rsidR="00913A5F" w:rsidRPr="0073337E">
        <w:t>will be used to establish a Prostitution Prevention Program called</w:t>
      </w:r>
      <w:r w:rsidR="000217A1" w:rsidRPr="0073337E">
        <w:t xml:space="preserve"> </w:t>
      </w:r>
      <w:r w:rsidR="00913A5F" w:rsidRPr="0073337E">
        <w:rPr>
          <w:b/>
          <w:i/>
        </w:rPr>
        <w:t>SAFE Court</w:t>
      </w:r>
      <w:r w:rsidR="00913A5F" w:rsidRPr="0073337E">
        <w:t xml:space="preserve"> (Survivors</w:t>
      </w:r>
      <w:r w:rsidR="000217A1" w:rsidRPr="0073337E">
        <w:t xml:space="preserve"> Acquiring Freedom and Empowerment.</w:t>
      </w:r>
      <w:r w:rsidR="00913A5F" w:rsidRPr="0073337E">
        <w:t>)</w:t>
      </w:r>
    </w:p>
    <w:p w:rsidR="00913A5F" w:rsidRPr="0073337E" w:rsidRDefault="00913A5F" w:rsidP="000217A1">
      <w:pPr>
        <w:pStyle w:val="NoSpacing"/>
        <w:rPr>
          <w:b/>
        </w:rPr>
      </w:pPr>
    </w:p>
    <w:p w:rsidR="000A2D5D" w:rsidRDefault="00B74742" w:rsidP="000217A1">
      <w:pPr>
        <w:pStyle w:val="NoSpacing"/>
      </w:pPr>
      <w:r w:rsidRPr="0073337E">
        <w:rPr>
          <w:b/>
          <w:i/>
        </w:rPr>
        <w:t>SAFE Court</w:t>
      </w:r>
      <w:r w:rsidRPr="0073337E">
        <w:t xml:space="preserve"> will target young adults </w:t>
      </w:r>
      <w:r w:rsidR="000A2D5D">
        <w:t xml:space="preserve">from 17 to 25 who are </w:t>
      </w:r>
      <w:r w:rsidR="00336112">
        <w:t>first time offenders. Some repeat prostitution offenders in that age group will also be eligible.</w:t>
      </w:r>
      <w:r w:rsidR="000A2D5D">
        <w:t xml:space="preserve"> </w:t>
      </w:r>
    </w:p>
    <w:p w:rsidR="000A2D5D" w:rsidRDefault="000A2D5D" w:rsidP="000217A1">
      <w:pPr>
        <w:pStyle w:val="NoSpacing"/>
      </w:pPr>
    </w:p>
    <w:p w:rsidR="00913A5F" w:rsidRPr="0073337E" w:rsidRDefault="00B74742" w:rsidP="000217A1">
      <w:pPr>
        <w:pStyle w:val="NoSpacing"/>
      </w:pPr>
      <w:r w:rsidRPr="0073337E">
        <w:t xml:space="preserve">The high recidivism rate among </w:t>
      </w:r>
      <w:r w:rsidR="00822DDA" w:rsidRPr="0073337E">
        <w:t>people convicted of prostitution</w:t>
      </w:r>
      <w:r w:rsidRPr="0073337E">
        <w:t xml:space="preserve"> shows us that incarceration alone has not provided</w:t>
      </w:r>
      <w:r w:rsidR="00822DDA" w:rsidRPr="0073337E">
        <w:t xml:space="preserve"> them</w:t>
      </w:r>
      <w:r w:rsidRPr="0073337E">
        <w:t xml:space="preserve"> with the tools needed to “break the cycle”.  They often have long histories of abuse</w:t>
      </w:r>
      <w:r w:rsidR="004D3BDA" w:rsidRPr="0073337E">
        <w:t>, neglect, and addiction</w:t>
      </w:r>
      <w:r w:rsidR="004D3BDA" w:rsidRPr="0073337E">
        <w:rPr>
          <w:b/>
        </w:rPr>
        <w:t xml:space="preserve">. </w:t>
      </w:r>
      <w:r w:rsidR="004D3BDA" w:rsidRPr="0073337E">
        <w:rPr>
          <w:b/>
          <w:i/>
        </w:rPr>
        <w:t>SAFE C</w:t>
      </w:r>
      <w:r w:rsidRPr="0073337E">
        <w:rPr>
          <w:b/>
          <w:i/>
        </w:rPr>
        <w:t>ourt</w:t>
      </w:r>
      <w:r w:rsidRPr="0073337E">
        <w:t xml:space="preserve"> will address their needs by </w:t>
      </w:r>
      <w:r w:rsidR="00F06486" w:rsidRPr="0073337E">
        <w:t>combining a specialty court therapeutic model with supervised, evidence-based treatment intervention</w:t>
      </w:r>
      <w:r w:rsidRPr="0073337E">
        <w:t>. The goal is to reduce victimization and criminalization</w:t>
      </w:r>
      <w:r w:rsidR="004D3BDA" w:rsidRPr="0073337E">
        <w:t xml:space="preserve"> of these y</w:t>
      </w:r>
      <w:r w:rsidR="00822DDA" w:rsidRPr="0073337E">
        <w:t xml:space="preserve">oung adults and to improve </w:t>
      </w:r>
      <w:r w:rsidR="004D3BDA" w:rsidRPr="0073337E">
        <w:t>public safety and health.</w:t>
      </w:r>
    </w:p>
    <w:p w:rsidR="004D3BDA" w:rsidRPr="0073337E" w:rsidRDefault="004D3BDA" w:rsidP="000217A1">
      <w:pPr>
        <w:pStyle w:val="NoSpacing"/>
      </w:pPr>
    </w:p>
    <w:p w:rsidR="009A4CC6" w:rsidRPr="0073337E" w:rsidRDefault="004D3BDA" w:rsidP="000217A1">
      <w:pPr>
        <w:pStyle w:val="NoSpacing"/>
        <w:rPr>
          <w:i/>
        </w:rPr>
      </w:pPr>
      <w:r w:rsidRPr="0073337E">
        <w:rPr>
          <w:i/>
        </w:rPr>
        <w:t>“</w:t>
      </w:r>
      <w:r w:rsidRPr="0073337E">
        <w:rPr>
          <w:b/>
          <w:i/>
        </w:rPr>
        <w:t>SAFE Court</w:t>
      </w:r>
      <w:r w:rsidR="00AA6D20" w:rsidRPr="0073337E">
        <w:rPr>
          <w:i/>
        </w:rPr>
        <w:t xml:space="preserve"> is designed to bridge the gap between the criminal justice system and community organizations that help those engaged in prostitution,”</w:t>
      </w:r>
      <w:r w:rsidR="00634169" w:rsidRPr="0073337E">
        <w:rPr>
          <w:i/>
        </w:rPr>
        <w:t xml:space="preserve"> </w:t>
      </w:r>
      <w:r w:rsidR="00634169" w:rsidRPr="0073337E">
        <w:t>said Harris County District Attorney Devon Anderson</w:t>
      </w:r>
      <w:r w:rsidR="00FC7A83" w:rsidRPr="0073337E">
        <w:t>.</w:t>
      </w:r>
      <w:r w:rsidR="00AA6D20" w:rsidRPr="0073337E">
        <w:t xml:space="preserve"> </w:t>
      </w:r>
      <w:r w:rsidR="00AA6D20" w:rsidRPr="0073337E">
        <w:rPr>
          <w:i/>
        </w:rPr>
        <w:t>”This court will provide these young people life skills needed to transition out of the prostitution lifestyle and to become a contributing member of society.”</w:t>
      </w:r>
    </w:p>
    <w:p w:rsidR="00AA6D20" w:rsidRPr="0073337E" w:rsidRDefault="00AA6D20" w:rsidP="000217A1">
      <w:pPr>
        <w:pStyle w:val="NoSpacing"/>
        <w:rPr>
          <w:i/>
        </w:rPr>
      </w:pPr>
    </w:p>
    <w:p w:rsidR="009A4CC6" w:rsidRPr="0073337E" w:rsidRDefault="00F542B0" w:rsidP="000217A1">
      <w:pPr>
        <w:pStyle w:val="NoSpacing"/>
      </w:pPr>
      <w:r w:rsidRPr="0073337E">
        <w:t>Last year, there were 340 first time offenders</w:t>
      </w:r>
      <w:r w:rsidR="007B37FB" w:rsidRPr="0073337E">
        <w:t>,</w:t>
      </w:r>
      <w:r w:rsidRPr="0073337E">
        <w:t xml:space="preserve"> charged with prostitution</w:t>
      </w:r>
      <w:r w:rsidR="004F3B15" w:rsidRPr="0073337E">
        <w:t xml:space="preserve"> under the age of 25.</w:t>
      </w:r>
      <w:r w:rsidRPr="0073337E">
        <w:t xml:space="preserve"> Approximately 2000 prostitution cases were filed in the last 4 years</w:t>
      </w:r>
      <w:r w:rsidR="00D52D94" w:rsidRPr="0073337E">
        <w:t xml:space="preserve"> involving young adults 17 to 25.</w:t>
      </w:r>
    </w:p>
    <w:p w:rsidR="007B37FB" w:rsidRPr="0073337E" w:rsidRDefault="007B37FB" w:rsidP="000217A1">
      <w:pPr>
        <w:pStyle w:val="NoSpacing"/>
      </w:pPr>
    </w:p>
    <w:p w:rsidR="000217A1" w:rsidRDefault="00C46E60" w:rsidP="000217A1">
      <w:pPr>
        <w:pStyle w:val="NoSpacing"/>
      </w:pPr>
      <w:r w:rsidRPr="0073337E">
        <w:t xml:space="preserve">The Honorable Pam Derbyshire in Harris County Court #7 will preside over </w:t>
      </w:r>
      <w:r w:rsidRPr="0073337E">
        <w:rPr>
          <w:b/>
          <w:i/>
        </w:rPr>
        <w:t>SAFE Court</w:t>
      </w:r>
      <w:r w:rsidR="009901BD" w:rsidRPr="0073337E">
        <w:t xml:space="preserve"> and a number of community organizations will</w:t>
      </w:r>
      <w:r w:rsidR="0073337E" w:rsidRPr="0073337E">
        <w:t xml:space="preserve"> help</w:t>
      </w:r>
      <w:r w:rsidR="009901BD" w:rsidRPr="0073337E">
        <w:t xml:space="preserve"> </w:t>
      </w:r>
      <w:r w:rsidR="00FC7A83" w:rsidRPr="0073337E">
        <w:t xml:space="preserve">provide </w:t>
      </w:r>
      <w:r w:rsidR="005334A4" w:rsidRPr="0073337E">
        <w:t xml:space="preserve">support. </w:t>
      </w:r>
      <w:r w:rsidR="005334A4" w:rsidRPr="008C2115">
        <w:rPr>
          <w:i/>
        </w:rPr>
        <w:t xml:space="preserve">“I’m honored and pleased to be a part of this revolutionary program. </w:t>
      </w:r>
      <w:r w:rsidR="005334A4" w:rsidRPr="008C2115">
        <w:rPr>
          <w:b/>
          <w:i/>
        </w:rPr>
        <w:t>SAFE Court</w:t>
      </w:r>
      <w:r w:rsidR="005334A4" w:rsidRPr="008C2115">
        <w:rPr>
          <w:i/>
        </w:rPr>
        <w:t xml:space="preserve"> is aptly named because it can literally save lives, and make our community safer for all</w:t>
      </w:r>
      <w:r w:rsidR="0073337E" w:rsidRPr="008C2115">
        <w:rPr>
          <w:i/>
        </w:rPr>
        <w:t>. As a former state and federal prosecutor, and a judge of 16 years, I know firsthand that the great majority of men and women charged with prostitution did not chose this lifestyle,”</w:t>
      </w:r>
      <w:r w:rsidR="00336112" w:rsidRPr="00336112">
        <w:t xml:space="preserve"> said</w:t>
      </w:r>
      <w:r w:rsidR="00A51898" w:rsidRPr="008C2115">
        <w:rPr>
          <w:i/>
        </w:rPr>
        <w:t xml:space="preserve"> </w:t>
      </w:r>
      <w:r w:rsidR="00DB2967">
        <w:t>Judge Derbyshir</w:t>
      </w:r>
      <w:r w:rsidR="006F561D">
        <w:t>e.</w:t>
      </w:r>
    </w:p>
    <w:p w:rsidR="006F561D" w:rsidRDefault="006F561D" w:rsidP="000217A1">
      <w:pPr>
        <w:pStyle w:val="NoSpacing"/>
        <w:rPr>
          <w:i/>
        </w:rPr>
      </w:pPr>
    </w:p>
    <w:p w:rsidR="000217A1" w:rsidRDefault="004F3B15">
      <w:pPr>
        <w:rPr>
          <w:b/>
        </w:rPr>
      </w:pPr>
      <w:r w:rsidRPr="007B37FB">
        <w:rPr>
          <w:b/>
          <w:i/>
        </w:rPr>
        <w:t>SAFE Court</w:t>
      </w:r>
      <w:r>
        <w:rPr>
          <w:b/>
        </w:rPr>
        <w:t xml:space="preserve"> Supporters Include:</w:t>
      </w:r>
    </w:p>
    <w:p w:rsidR="004F3B15" w:rsidRDefault="004F3B15" w:rsidP="004F3B15">
      <w:pPr>
        <w:pStyle w:val="NoSpacing"/>
      </w:pPr>
      <w:r>
        <w:t>Judge Pam Derbyshire</w:t>
      </w:r>
    </w:p>
    <w:p w:rsidR="004F3B15" w:rsidRDefault="004F3B15" w:rsidP="004F3B15">
      <w:pPr>
        <w:pStyle w:val="NoSpacing"/>
      </w:pPr>
      <w:r>
        <w:t>Harris County District Attorney Devon Anderson</w:t>
      </w:r>
    </w:p>
    <w:p w:rsidR="004F3B15" w:rsidRDefault="004F3B15" w:rsidP="004F3B15">
      <w:pPr>
        <w:pStyle w:val="NoSpacing"/>
      </w:pPr>
      <w:r>
        <w:t>Harris County Community Supervision</w:t>
      </w:r>
    </w:p>
    <w:p w:rsidR="004F3B15" w:rsidRDefault="004F3B15" w:rsidP="004F3B15">
      <w:pPr>
        <w:pStyle w:val="NoSpacing"/>
      </w:pPr>
      <w:r>
        <w:t>HCDAO Human Trafficking Division</w:t>
      </w:r>
    </w:p>
    <w:p w:rsidR="004F3B15" w:rsidRDefault="004F3B15" w:rsidP="004F3B15">
      <w:pPr>
        <w:pStyle w:val="NoSpacing"/>
      </w:pPr>
      <w:r>
        <w:t>Harris County Office of Court Management</w:t>
      </w:r>
    </w:p>
    <w:p w:rsidR="004F3B15" w:rsidRDefault="004F3B15" w:rsidP="004F3B15">
      <w:pPr>
        <w:pStyle w:val="NoSpacing"/>
      </w:pPr>
      <w:r>
        <w:t>Harris County Juvenile Probation</w:t>
      </w:r>
    </w:p>
    <w:p w:rsidR="004F3B15" w:rsidRDefault="004F3B15" w:rsidP="004F3B15">
      <w:pPr>
        <w:pStyle w:val="NoSpacing"/>
      </w:pPr>
      <w:r>
        <w:t xml:space="preserve">Children’s </w:t>
      </w:r>
      <w:r w:rsidR="00B35205">
        <w:t>A</w:t>
      </w:r>
      <w:r>
        <w:t>ssessment Center</w:t>
      </w:r>
    </w:p>
    <w:p w:rsidR="004F3B15" w:rsidRDefault="004F3B15" w:rsidP="004F3B15">
      <w:pPr>
        <w:pStyle w:val="NoSpacing"/>
      </w:pPr>
      <w:r>
        <w:t>Texas Department of Family and Protective Services</w:t>
      </w:r>
    </w:p>
    <w:p w:rsidR="004F3B15" w:rsidRDefault="004F3B15" w:rsidP="004F3B15">
      <w:pPr>
        <w:pStyle w:val="NoSpacing"/>
      </w:pPr>
      <w:r>
        <w:t>Sam Houston State University</w:t>
      </w:r>
    </w:p>
    <w:p w:rsidR="004F3B15" w:rsidRDefault="004F3B15" w:rsidP="004F3B15">
      <w:pPr>
        <w:pStyle w:val="NoSpacing"/>
      </w:pPr>
      <w:r>
        <w:t>HCDAO Special Victim’s Bureau</w:t>
      </w:r>
    </w:p>
    <w:p w:rsidR="004F3B15" w:rsidRDefault="004F3B15" w:rsidP="004F3B15">
      <w:pPr>
        <w:pStyle w:val="NoSpacing"/>
      </w:pPr>
      <w:r>
        <w:t>HCDAO Victim Witness Division</w:t>
      </w:r>
    </w:p>
    <w:p w:rsidR="007B37FB" w:rsidRDefault="007B37FB" w:rsidP="004F3B15">
      <w:pPr>
        <w:pStyle w:val="NoSpacing"/>
      </w:pPr>
      <w:r>
        <w:t>Houston Area Women’s Center</w:t>
      </w:r>
    </w:p>
    <w:p w:rsidR="007B37FB" w:rsidRDefault="00B04CDC" w:rsidP="004F3B15">
      <w:pPr>
        <w:pStyle w:val="NoSpacing"/>
      </w:pPr>
      <w:r>
        <w:t>T</w:t>
      </w:r>
      <w:r w:rsidR="007B37FB">
        <w:t>he Bridge Over Troubled Waters</w:t>
      </w:r>
    </w:p>
    <w:p w:rsidR="007B37FB" w:rsidRDefault="007B37FB" w:rsidP="004F3B15">
      <w:pPr>
        <w:pStyle w:val="NoSpacing"/>
      </w:pPr>
      <w:r>
        <w:t>Been There Done That</w:t>
      </w:r>
    </w:p>
    <w:p w:rsidR="007B37FB" w:rsidRDefault="007B37FB" w:rsidP="004F3B15">
      <w:pPr>
        <w:pStyle w:val="NoSpacing"/>
      </w:pPr>
    </w:p>
    <w:p w:rsidR="007B37FB" w:rsidRDefault="007B37FB" w:rsidP="004F3B15">
      <w:pPr>
        <w:pStyle w:val="NoSpacing"/>
      </w:pPr>
    </w:p>
    <w:p w:rsidR="004F3B15" w:rsidRPr="00146A9E" w:rsidRDefault="00146A9E">
      <w:r w:rsidRPr="00146A9E">
        <w:rPr>
          <w:b/>
          <w:u w:val="single"/>
        </w:rPr>
        <w:t>Note:</w:t>
      </w:r>
      <w:r w:rsidRPr="00146A9E">
        <w:t xml:space="preserve"> Press availability today at 11a.m. at the Criminal Jus</w:t>
      </w:r>
      <w:bookmarkStart w:id="0" w:name="_GoBack"/>
      <w:bookmarkEnd w:id="0"/>
      <w:r w:rsidRPr="00146A9E">
        <w:t>tice Center - Court #7 (9</w:t>
      </w:r>
      <w:r w:rsidRPr="00146A9E">
        <w:rPr>
          <w:vertAlign w:val="superscript"/>
        </w:rPr>
        <w:t>th</w:t>
      </w:r>
      <w:r w:rsidRPr="00146A9E">
        <w:t xml:space="preserve"> floor) 1201 Franklin Street Houston TX 77002</w:t>
      </w:r>
    </w:p>
    <w:p w:rsidR="004F3B15" w:rsidRPr="00913A5F" w:rsidRDefault="004F3B15">
      <w:pPr>
        <w:rPr>
          <w:b/>
        </w:rPr>
      </w:pPr>
    </w:p>
    <w:sectPr w:rsidR="004F3B15" w:rsidRPr="00913A5F" w:rsidSect="0097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36"/>
    <w:rsid w:val="000217A1"/>
    <w:rsid w:val="0009250F"/>
    <w:rsid w:val="000A2D5D"/>
    <w:rsid w:val="000B6831"/>
    <w:rsid w:val="00136FE5"/>
    <w:rsid w:val="00146A9E"/>
    <w:rsid w:val="0019458E"/>
    <w:rsid w:val="00242F5B"/>
    <w:rsid w:val="002656EB"/>
    <w:rsid w:val="00292636"/>
    <w:rsid w:val="002E7D3E"/>
    <w:rsid w:val="00320958"/>
    <w:rsid w:val="00336112"/>
    <w:rsid w:val="003E73E1"/>
    <w:rsid w:val="00411118"/>
    <w:rsid w:val="004D3BDA"/>
    <w:rsid w:val="004F3B15"/>
    <w:rsid w:val="0052656E"/>
    <w:rsid w:val="005334A4"/>
    <w:rsid w:val="00542351"/>
    <w:rsid w:val="00591BC3"/>
    <w:rsid w:val="00634169"/>
    <w:rsid w:val="00643EAF"/>
    <w:rsid w:val="00651728"/>
    <w:rsid w:val="00672B87"/>
    <w:rsid w:val="006F561D"/>
    <w:rsid w:val="0073337E"/>
    <w:rsid w:val="007827CB"/>
    <w:rsid w:val="007B37FB"/>
    <w:rsid w:val="00822DDA"/>
    <w:rsid w:val="008C2115"/>
    <w:rsid w:val="008D4304"/>
    <w:rsid w:val="008F4083"/>
    <w:rsid w:val="00913A5F"/>
    <w:rsid w:val="00974526"/>
    <w:rsid w:val="009901BD"/>
    <w:rsid w:val="009A1218"/>
    <w:rsid w:val="009A4CC6"/>
    <w:rsid w:val="00A12A7F"/>
    <w:rsid w:val="00A51898"/>
    <w:rsid w:val="00A74F8D"/>
    <w:rsid w:val="00A8211A"/>
    <w:rsid w:val="00A9767E"/>
    <w:rsid w:val="00AA5F28"/>
    <w:rsid w:val="00AA6D20"/>
    <w:rsid w:val="00AD4A35"/>
    <w:rsid w:val="00B04CDC"/>
    <w:rsid w:val="00B35205"/>
    <w:rsid w:val="00B66F52"/>
    <w:rsid w:val="00B74742"/>
    <w:rsid w:val="00B97360"/>
    <w:rsid w:val="00C46E60"/>
    <w:rsid w:val="00CC0B7E"/>
    <w:rsid w:val="00CC2518"/>
    <w:rsid w:val="00D52D94"/>
    <w:rsid w:val="00DB2967"/>
    <w:rsid w:val="00E35A40"/>
    <w:rsid w:val="00EC3532"/>
    <w:rsid w:val="00F06486"/>
    <w:rsid w:val="00F25B7C"/>
    <w:rsid w:val="00F52503"/>
    <w:rsid w:val="00F542B0"/>
    <w:rsid w:val="00F5794D"/>
    <w:rsid w:val="00F75958"/>
    <w:rsid w:val="00F82745"/>
    <w:rsid w:val="00FB3755"/>
    <w:rsid w:val="00FC0F69"/>
    <w:rsid w:val="00FC7A83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36"/>
  </w:style>
  <w:style w:type="table" w:styleId="TableGrid">
    <w:name w:val="Table Grid"/>
    <w:basedOn w:val="TableNormal"/>
    <w:uiPriority w:val="59"/>
    <w:rsid w:val="0029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7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36"/>
  </w:style>
  <w:style w:type="table" w:styleId="TableGrid">
    <w:name w:val="Table Grid"/>
    <w:basedOn w:val="TableNormal"/>
    <w:uiPriority w:val="59"/>
    <w:rsid w:val="0029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81109DD5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hepola_camille</dc:creator>
  <cp:lastModifiedBy>Hepola, Camille</cp:lastModifiedBy>
  <cp:revision>3</cp:revision>
  <cp:lastPrinted>2014-10-16T13:43:00Z</cp:lastPrinted>
  <dcterms:created xsi:type="dcterms:W3CDTF">2014-10-16T13:52:00Z</dcterms:created>
  <dcterms:modified xsi:type="dcterms:W3CDTF">2014-10-16T13:54:00Z</dcterms:modified>
</cp:coreProperties>
</file>